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7C" w:rsidRPr="00F91683" w:rsidRDefault="009C5F7C" w:rsidP="009C5F7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F91683">
        <w:rPr>
          <w:rFonts w:ascii="Garamond" w:hAnsi="Garamond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:rsidR="009C5F7C" w:rsidRPr="00F91683" w:rsidRDefault="00F91683" w:rsidP="009C5F7C">
      <w:pPr>
        <w:pStyle w:val="NormalnyWeb"/>
        <w:jc w:val="center"/>
        <w:rPr>
          <w:rFonts w:ascii="Garamond" w:hAnsi="Garamond"/>
          <w:b/>
        </w:rPr>
      </w:pPr>
      <w:r w:rsidRPr="00F91683">
        <w:rPr>
          <w:rFonts w:ascii="Garamond" w:hAnsi="Garamond"/>
          <w:b/>
        </w:rPr>
        <w:t xml:space="preserve">BIBLIOTEKOZNAWSTWO DLA NAUCZYCIELI </w:t>
      </w:r>
    </w:p>
    <w:p w:rsidR="001215CB" w:rsidRPr="00F91683" w:rsidRDefault="001215CB" w:rsidP="001215CB">
      <w:pPr>
        <w:jc w:val="center"/>
        <w:rPr>
          <w:rFonts w:ascii="Garamond" w:hAnsi="Garamond"/>
          <w:b/>
          <w:sz w:val="24"/>
          <w:szCs w:val="24"/>
        </w:rPr>
      </w:pPr>
    </w:p>
    <w:p w:rsidR="004F0507" w:rsidRPr="00F91683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eastAsia="Times New Roman" w:hAnsi="Garamond" w:cs="Times New Roman"/>
          <w:sz w:val="24"/>
          <w:szCs w:val="24"/>
          <w:lang w:eastAsia="pl-PL"/>
        </w:rPr>
        <w:t>Typologia bibliotek</w:t>
      </w:r>
      <w:r w:rsidR="003C2040" w:rsidRPr="00F91683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2A6A09" w:rsidRPr="00F91683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eastAsia="Times New Roman" w:hAnsi="Garamond" w:cs="Times New Roman"/>
          <w:sz w:val="24"/>
          <w:szCs w:val="24"/>
          <w:lang w:eastAsia="pl-PL"/>
        </w:rPr>
        <w:t>Rodzaje bibliotek i ich zadania</w:t>
      </w:r>
      <w:r w:rsidR="003C2040" w:rsidRPr="00F91683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2A6A09" w:rsidRPr="00F91683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eastAsia="Times New Roman" w:hAnsi="Garamond" w:cs="Times New Roman"/>
          <w:sz w:val="24"/>
          <w:szCs w:val="24"/>
          <w:lang w:eastAsia="pl-PL"/>
        </w:rPr>
        <w:t>Prawo w bibliotece. Podstawowe akty prawne.</w:t>
      </w:r>
      <w:bookmarkStart w:id="0" w:name="_GoBack"/>
      <w:bookmarkEnd w:id="0"/>
    </w:p>
    <w:p w:rsidR="002A6A09" w:rsidRPr="00F91683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eastAsia="Times New Roman" w:hAnsi="Garamond" w:cs="Times New Roman"/>
          <w:sz w:val="24"/>
          <w:szCs w:val="24"/>
          <w:lang w:eastAsia="pl-PL"/>
        </w:rPr>
        <w:t>Pismo – jego istota, funkcje i rozwój .</w:t>
      </w:r>
    </w:p>
    <w:p w:rsidR="002A6A09" w:rsidRPr="00F91683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eastAsia="Times New Roman" w:hAnsi="Garamond" w:cs="Times New Roman"/>
          <w:sz w:val="24"/>
          <w:szCs w:val="24"/>
          <w:lang w:eastAsia="pl-PL"/>
        </w:rPr>
        <w:t>Historia Biblioteki Aleksandryjskiej.</w:t>
      </w:r>
    </w:p>
    <w:p w:rsidR="002A6A09" w:rsidRPr="00F91683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eastAsia="Times New Roman" w:hAnsi="Garamond" w:cs="Times New Roman"/>
          <w:sz w:val="24"/>
          <w:szCs w:val="24"/>
          <w:lang w:eastAsia="pl-PL"/>
        </w:rPr>
        <w:t>Pojęcie dokumentu, podział i charakterystyka zbiorów. Ewidencja zbiorów. </w:t>
      </w:r>
    </w:p>
    <w:p w:rsidR="002A6A09" w:rsidRPr="00F91683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eastAsia="Times New Roman" w:hAnsi="Garamond" w:cs="Times New Roman"/>
          <w:sz w:val="24"/>
          <w:szCs w:val="24"/>
          <w:lang w:eastAsia="pl-PL"/>
        </w:rPr>
        <w:t>Zasady gromadzenia zbiorów (kompletność, aktualizacja, selekcja) </w:t>
      </w:r>
    </w:p>
    <w:p w:rsidR="002A6A09" w:rsidRPr="00F91683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eastAsia="Times New Roman" w:hAnsi="Garamond" w:cs="Times New Roman"/>
          <w:sz w:val="24"/>
          <w:szCs w:val="24"/>
          <w:lang w:eastAsia="pl-PL"/>
        </w:rPr>
        <w:t>Inwentaryzacja zbiorów.  Ochrona i konserwacja zbiorów.</w:t>
      </w:r>
    </w:p>
    <w:p w:rsidR="002A6A09" w:rsidRPr="00F91683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>Podział i typologia katalogów bibliotecznych.</w:t>
      </w:r>
    </w:p>
    <w:p w:rsidR="002A6A09" w:rsidRPr="00F91683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>Opracowanie rzeczowe zbiorów. U</w:t>
      </w:r>
      <w:r w:rsidR="003C2040" w:rsidRPr="00F91683">
        <w:rPr>
          <w:rFonts w:ascii="Garamond" w:hAnsi="Garamond"/>
          <w:sz w:val="24"/>
          <w:szCs w:val="24"/>
        </w:rPr>
        <w:t xml:space="preserve">niwersalna </w:t>
      </w:r>
      <w:r w:rsidRPr="00F91683">
        <w:rPr>
          <w:rFonts w:ascii="Garamond" w:hAnsi="Garamond"/>
          <w:sz w:val="24"/>
          <w:szCs w:val="24"/>
        </w:rPr>
        <w:t>K</w:t>
      </w:r>
      <w:r w:rsidR="001215CB" w:rsidRPr="00F91683">
        <w:rPr>
          <w:rFonts w:ascii="Garamond" w:hAnsi="Garamond"/>
          <w:sz w:val="24"/>
          <w:szCs w:val="24"/>
        </w:rPr>
        <w:t>lasyfikacja Dziesiętna.</w:t>
      </w:r>
    </w:p>
    <w:p w:rsidR="002A6A09" w:rsidRPr="00F91683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>Biblioteka jako organizacja (zarządzanie</w:t>
      </w:r>
      <w:r w:rsidR="00960141" w:rsidRPr="00F91683">
        <w:rPr>
          <w:rFonts w:ascii="Garamond" w:hAnsi="Garamond"/>
          <w:sz w:val="24"/>
          <w:szCs w:val="24"/>
        </w:rPr>
        <w:t xml:space="preserve"> organizacją, style kierowania).</w:t>
      </w:r>
    </w:p>
    <w:p w:rsidR="00960141" w:rsidRPr="00F91683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>Strategia rozwoju bibliotek. Organizacja imprez kulturalnych</w:t>
      </w:r>
      <w:r w:rsidR="001215CB" w:rsidRPr="00F91683">
        <w:rPr>
          <w:rFonts w:ascii="Garamond" w:hAnsi="Garamond"/>
          <w:sz w:val="24"/>
          <w:szCs w:val="24"/>
        </w:rPr>
        <w:t xml:space="preserve">             </w:t>
      </w:r>
      <w:r w:rsidRPr="00F91683">
        <w:rPr>
          <w:rFonts w:ascii="Garamond" w:hAnsi="Garamond"/>
          <w:sz w:val="24"/>
          <w:szCs w:val="24"/>
        </w:rPr>
        <w:t xml:space="preserve"> i naukowych.</w:t>
      </w:r>
    </w:p>
    <w:p w:rsidR="00960141" w:rsidRPr="00F91683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>Warsztat informacyjny bibliotekarza. Tradycyjne i nowoczesne źródła informacji.</w:t>
      </w:r>
    </w:p>
    <w:p w:rsidR="00960141" w:rsidRPr="00F91683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>Tendencje na polskim i światowym rynku książki (książka tradycyjna</w:t>
      </w:r>
      <w:r w:rsidR="001215CB" w:rsidRPr="00F91683">
        <w:rPr>
          <w:rFonts w:ascii="Garamond" w:hAnsi="Garamond"/>
          <w:sz w:val="24"/>
          <w:szCs w:val="24"/>
        </w:rPr>
        <w:t xml:space="preserve"> </w:t>
      </w:r>
      <w:r w:rsidRPr="00F91683">
        <w:rPr>
          <w:rFonts w:ascii="Garamond" w:hAnsi="Garamond"/>
          <w:sz w:val="24"/>
          <w:szCs w:val="24"/>
        </w:rPr>
        <w:t>i elektroniczna). </w:t>
      </w:r>
    </w:p>
    <w:p w:rsidR="00960141" w:rsidRPr="00F91683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>Polska literatura współczesna. Najważniejsze nurty, tendencje i pokolenia literackie.</w:t>
      </w:r>
    </w:p>
    <w:p w:rsidR="00960141" w:rsidRPr="00F91683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>Książki dla dzieci i młodzieży (geneza, konwencje, tematy, gatunki).</w:t>
      </w:r>
    </w:p>
    <w:p w:rsidR="00960141" w:rsidRPr="00F91683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>Metodyka pracy nauczyciela bibliotekarza.</w:t>
      </w:r>
      <w:r w:rsidR="003C2040" w:rsidRPr="00F91683">
        <w:rPr>
          <w:rFonts w:ascii="Garamond" w:hAnsi="Garamond"/>
          <w:sz w:val="24"/>
          <w:szCs w:val="24"/>
        </w:rPr>
        <w:t xml:space="preserve"> Praca pedagogiczna z uczniem: uczeń jako użytkownik biblioteki szkolnej.</w:t>
      </w:r>
    </w:p>
    <w:p w:rsidR="003C2040" w:rsidRPr="00F91683" w:rsidRDefault="003C2040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>Animacja w bibliotece.  Gry i zabawy czytelnicze. Konkursy czytelnicze.</w:t>
      </w:r>
    </w:p>
    <w:p w:rsidR="003C2040" w:rsidRPr="00F91683" w:rsidRDefault="003C2040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>Biblioterapia. Metody i techniki stosowane w biblioterapii. </w:t>
      </w:r>
    </w:p>
    <w:p w:rsidR="002A6A09" w:rsidRPr="00F91683" w:rsidRDefault="003C2040" w:rsidP="00531F33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 w:rsidRPr="00F91683">
        <w:rPr>
          <w:rFonts w:ascii="Garamond" w:hAnsi="Garamond"/>
          <w:sz w:val="24"/>
          <w:szCs w:val="24"/>
        </w:rPr>
        <w:t xml:space="preserve">Internet i multimedia w dydaktyce. </w:t>
      </w:r>
      <w:r w:rsidR="001215CB" w:rsidRPr="00F91683">
        <w:rPr>
          <w:rFonts w:ascii="Garamond" w:hAnsi="Garamond"/>
          <w:sz w:val="24"/>
          <w:szCs w:val="24"/>
        </w:rPr>
        <w:t xml:space="preserve">Materiały dydaktyczne dostępne w </w:t>
      </w:r>
      <w:r w:rsidR="009C5F7C" w:rsidRPr="00F91683">
        <w:rPr>
          <w:rFonts w:ascii="Garamond" w:hAnsi="Garamond"/>
          <w:sz w:val="24"/>
          <w:szCs w:val="24"/>
        </w:rPr>
        <w:t>Internecie</w:t>
      </w:r>
      <w:r w:rsidR="001215CB" w:rsidRPr="00F91683">
        <w:rPr>
          <w:rFonts w:ascii="Garamond" w:hAnsi="Garamond"/>
          <w:sz w:val="24"/>
          <w:szCs w:val="24"/>
        </w:rPr>
        <w:t>.</w:t>
      </w:r>
      <w:r w:rsidRPr="00F91683">
        <w:rPr>
          <w:rFonts w:ascii="Garamond" w:hAnsi="Garamond"/>
          <w:sz w:val="24"/>
          <w:szCs w:val="24"/>
        </w:rPr>
        <w:br/>
      </w:r>
    </w:p>
    <w:sectPr w:rsidR="002A6A09" w:rsidRPr="00F91683" w:rsidSect="003C204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C2929"/>
    <w:multiLevelType w:val="multilevel"/>
    <w:tmpl w:val="856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D0CDC"/>
    <w:multiLevelType w:val="hybridMultilevel"/>
    <w:tmpl w:val="E8D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2977"/>
    <w:multiLevelType w:val="multilevel"/>
    <w:tmpl w:val="C374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C0A8B"/>
    <w:multiLevelType w:val="hybridMultilevel"/>
    <w:tmpl w:val="E8D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507"/>
    <w:rsid w:val="000537CF"/>
    <w:rsid w:val="001215CB"/>
    <w:rsid w:val="002A6A09"/>
    <w:rsid w:val="003C2040"/>
    <w:rsid w:val="0044712A"/>
    <w:rsid w:val="004F0507"/>
    <w:rsid w:val="00531F33"/>
    <w:rsid w:val="00960141"/>
    <w:rsid w:val="009C5F7C"/>
    <w:rsid w:val="00F9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9FB14-422F-4C4C-ABDF-9645B4E9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50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C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Mucha</cp:lastModifiedBy>
  <cp:revision>6</cp:revision>
  <dcterms:created xsi:type="dcterms:W3CDTF">2020-05-17T14:25:00Z</dcterms:created>
  <dcterms:modified xsi:type="dcterms:W3CDTF">2025-01-27T14:04:00Z</dcterms:modified>
</cp:coreProperties>
</file>